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Piteå kommunfullmäktige</w:t>
      </w:r>
    </w:p>
    <w:p>
      <w:pPr>
        <w:pStyle w:val="Heading1"/>
      </w:pPr>
      <w:r>
        <w:t xml:space="preserve">Fler legitimerade lärare och tidiga insatser i Piteås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Piteå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Piteås meritvärde årskurs 9 ligger på 225 poäng 2023, under rikssnittet (Kolada). Lärarbrist och stora klasser försvårar kunskapsutveckling. Tidiga insatser i årskurs 1–3 är avgörande för att vända trenden.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Piteå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treårig satsning på 15 extra legitimerade lärare i grundskolan.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 screening av läs- och skrivförmåga i årskurs 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miljoner kronor årligen för specialpedagogiska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satsningen i budgetuppföljningen 2027.</w:t>
      </w:r>
    </w:p>
    <w:p>
      <w:pPr>
        <w:spacing w:before="360"/>
      </w:pPr>
    </w:p>
    <w:p>
      <w:r>
        <w:t xml:space="preserve">Piteå,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Piteå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2026-07-14T04:54:21.696Z</dcterms:created>
  <dcterms:modified xsi:type="dcterms:W3CDTF">2026-07-14T04:54:21.696Z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